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28. jūlijā (prot. Nr. 30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Harkivas reģionālās padomes pašvaldības bezpeļņas uzņēmumam "Reģionālā klīniskā slimnīca", Mikolajivas apgabala Arbuzinskas ciema padomei, Hersonas apgabala Heņičeskas pilsētas militārajai pārvaldei, Horodenkas pilsētas domes pašvaldības bezpeļņas uzņēmumam "Horodenkas multidisciplinārās intensīvās terapijas slimnīca", Ukrainas Valsts robežsardzes dienestam, Ukrainas Aizsardzības ministrijas Ukrainas bruņoto spēku galvenajam sakaru departamentam, Ivanofrankivskas apvienotās teritoriālās kopienas Tlumačas pilsētas domes pašvaldības bezpeļņas uzņēmumam "Primārās medicīniskās palīdzības interpretācijas centrs")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24-TA-1712</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24-TA-1712</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rīkojuma_projekts_24-TA-1712.docx</dc:title>
</cp:coreProperties>
</file>

<file path=docProps/custom.xml><?xml version="1.0" encoding="utf-8"?>
<Properties xmlns="http://schemas.openxmlformats.org/officeDocument/2006/custom-properties" xmlns:vt="http://schemas.openxmlformats.org/officeDocument/2006/docPropsVTypes"/>
</file>