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4.decembra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Pārskats par grupu dzīvokļa pakalpojuma finansējuma avotiem par 20___. gada ____. pusgadu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(institūcijas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76"/>
        <w:gridCol w:w="1834"/>
        <w:gridCol w:w="1791"/>
        <w:gridCol w:w="1740"/>
        <w:gridCol w:w="1648"/>
        <w:tblGridChange w:id="0">
          <w:tblGrid>
            <w:gridCol w:w="1876"/>
            <w:gridCol w:w="1834"/>
            <w:gridCol w:w="1791"/>
            <w:gridCol w:w="1740"/>
            <w:gridCol w:w="16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avots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Plānots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pusgadu*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gada sākuma*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Korekcija**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līdzfinansējums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Klientu maksājumi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 Valsts vai pašvaldības līdzfinansējumu norāda, klientu dienu skaitu pusgadā vai gadā reizinot ar valsts vai pašvaldības budžeta līdzfinansējuma apmēru vienam klientam vienā dienā. Rindā "Klientu maksājumi" norāda klientu maksājumus, kas veicami saskaņā ar Ministru kabineta 2007. gada 4. decembra noteikumu Nr. 829 "Noteikumi par dienas centru, grupu māju (dzīvokļu) un pusceļa māju izveidošanas un uzturēšanas izdevumu līdzfinansēšanu" 22. punktu, – attiecīgajās ailēs norāda klientiem izrakstīto rēķinu par pusgadu vai gadu kopsummu.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 Ailē "Korekcija" norāda pašvaldības gada līdzfinansējuma summu, ja šī summa uz pārskata gada 31. decembri atšķiras no finansējuma, kas norādīts ailē "No gada sākuma" (klientu dienu skaitu gadā reizina ar pārskata gada sākumā noteikto pašvaldības līdzfinansējuma apmēru vienam klientam vienā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iesniegšanas reģistrācijas numurs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sagatavotājs ___________________________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sagatavotāja tālruņa numurs __________ un e-pasta adrese 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noteikumu_(grozījumu)_projekts_p2_23-TA-3167.docx</dc:title>
</cp:coreProperties>
</file>

<file path=docProps/custom.xml><?xml version="1.0" encoding="utf-8"?>
<Properties xmlns="http://schemas.openxmlformats.org/officeDocument/2006/custom-properties" xmlns:vt="http://schemas.openxmlformats.org/officeDocument/2006/docPropsVTypes"/>
</file>