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115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28. februārī (prot. Nr. 12 43.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Kuldīgas novada pašvaldības nekustamā īpašuma "Eņģeļceļš" pārņemšanu valsts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Publiskas personas mantas atsavināšanas likuma</w:t>
      </w:r>
      <w:r w:rsidR="00000000" w:rsidRPr="00000000" w:rsidDel="00000000">
        <w:rPr>
          <w:rtl w:val="0"/>
        </w:rPr>
        <w:t xml:space="preserve"> 42. panta otro daļu un 43. pantu un </w:t>
      </w:r>
      <w:r w:rsidR="00000000" w:rsidRPr="00000000" w:rsidDel="00000000">
        <w:rPr>
          <w:rtl w:val="0"/>
        </w:rPr>
        <w:t xml:space="preserve">Meža likuma</w:t>
      </w:r>
      <w:r w:rsidR="00000000" w:rsidRPr="00000000" w:rsidDel="00000000">
        <w:rPr>
          <w:rtl w:val="0"/>
        </w:rPr>
        <w:t xml:space="preserve"> 4. panta otro daļu pārņemt bez atlīdzības valsts īpašumā un nodot Zemkopības ministrijas valdījumā Kuldīgas novada pašvaldības īpašumā esošo nekustamo īpašumu "Eņģeļceļš" (nekustamā īpašuma kadastra Nr. 6260 009 0232) – zemes vienību (zemes vienības kadastra apzīmējums 6260 009 0232) 0,18 ha platībā un būvi "Ceļš Eņģeļkrogs–Ozoliņi – 1. posms" (būves kadastra apzīmējums 6260 009 0196 002) – Kurmāles pagastā, Kuldīgas novadā (turpmāk – nekustamais īpašums).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izmantot valsts meža apsaimniekošanas un aizsardzības funkcijas īstenošanai;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bez atlīdzības nodot Kuldīgas novada pašvaldībai, ja tas vairs netiek izmantots šā rīkojuma 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ministrijai, nostiprinot zemesgrāmatā īpašuma tiesības uz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Zemkopības ministrija nodrošina šā rīkojuma 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 īpašumu un apgrūtināt to ar lietu tiesībām.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Šmits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23-TA-177</w:t>
    </w:r>
    <w:r>
      <w:br/>
    </w:r>
    <w:r w:rsidR="00000000" w:rsidRPr="00000000" w:rsidDel="00000000">
      <w:rPr>
        <w:rtl w:val="0"/>
      </w:rPr>
      <w:t xml:space="preserve">Izdrukāts 29.07.2026. 21.24 - 1.0.VK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23-TA-177</w:t>
    </w:r>
    <w:r>
      <w:br/>
    </w:r>
    <w:r w:rsidR="00000000" w:rsidRPr="00000000" w:rsidDel="00000000">
      <w:rPr>
        <w:rtl w:val="0"/>
      </w:rPr>
      <w:t xml:space="preserve">Izdrukāts 29.07.2026. 21.24 - 1.0.VK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