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septembrī (prot. Nr. 46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Merķeļa ielā 3, Alūksnē, Alūksnes novadā,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Alūksnes novada pašvaldības īpašumā nodotais nekustamais īpašums  (nekustamā īpašuma kadastra Nr. 3601 030 4829) – zemes vienība (zemes vienības kadastra apzīmējums 3601 030 4829) 2520 m</w:t>
      </w:r>
      <w:r w:rsidR="00000000" w:rsidRPr="00000000" w:rsidDel="00000000">
        <w:rPr>
          <w:vertAlign w:val="superscript"/>
          <w:rtl w:val="0"/>
        </w:rPr>
        <w:t xml:space="preserve">2</w:t>
      </w:r>
      <w:r w:rsidR="00000000" w:rsidRPr="00000000" w:rsidDel="00000000">
        <w:rPr>
          <w:rtl w:val="0"/>
        </w:rPr>
        <w:t xml:space="preserve"> platībā un būve (būves kadastra apzīmējums 3601 030 4829 001) – Merķeļa ielā 3, Alūksnē, Alūksnes novadā, vairs netiek izmantots Ministru kabineta 2010. gada 1. jūlija rīkojumā Nr. 107 ''Par nekustamā īpašuma Merķeļa ielā 3, Alūksnē, Alūksnes novadā, nodošanu Alūksnes novada pašvaldības īpašumā'' 2.1. apakšpunktā minētās funkcijas īstenošanai, saskaņā ar Publiskas personas mantas atsavināšanas likuma 42. panta pirmo daļu un 43. pantu pārņemt bez atlīdzības valsts īpašumā minēto nekustamo īpašumu un nodot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Alūksnes novada pašvaldības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un otro daļu un 5. panta pirmo daļu atļaut valsts akciju sabiedrībai "Valsts nekustamie īpašumi" pārdot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22-TA-1973</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22-TA-1973</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rīkojuma_projekts_22-TA-1973.docx</dc:title>
</cp:coreProperties>
</file>

<file path=docProps/custom.xml><?xml version="1.0" encoding="utf-8"?>
<Properties xmlns="http://schemas.openxmlformats.org/officeDocument/2006/custom-properties" xmlns:vt="http://schemas.openxmlformats.org/officeDocument/2006/docPropsVTypes"/>
</file>