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494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29. augustā (prot. Nr. 42 51.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mazākumtautību valodas un kultūrvēstures interešu izglītības programmas paraugu un tās īstenošanas vadlīnijām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Izglītības likuma 14. panta 47. punktu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mazākumtautību valodas un kultūrvēstures interešu izglītības programmas (turpmāk – programma) paraugu un tās īstenošanas vadlīnijas.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īsteno atbilstoši šo noteikumu </w:t>
      </w:r>
      <w:r w:rsidR="00000000" w:rsidRPr="00000000" w:rsidDel="00000000">
        <w:rPr>
          <w:rtl w:val="0"/>
        </w:rPr>
        <w:t xml:space="preserve">pielikumā</w:t>
      </w:r>
      <w:r w:rsidR="00000000" w:rsidRPr="00000000" w:rsidDel="00000000">
        <w:rPr>
          <w:rtl w:val="0"/>
        </w:rPr>
        <w:t xml:space="preserve"> norādītajam programmas paraugam (turpmāk – programmas paraugs).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var īstenot klātienē, attālināti vai daļēji attālināti, paredzot līdz trīs mācību nodarbībām (akadēmiskajām stundām)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satura komponentus var īstenot vienotā veselumā, atsevišķi vai kombinēti, prioritāri nodrošinot izglītojamajiem mazākumtautības valodas prasmju apguvi un attīstību.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Pedagogs atbilstoši programmas paraugam izstrādā un īsteno savu programmu, kurā norāda mērķi, uzdevumus, mērķauditoriju, programmas īstenošanas laiku un vietu, plānoto mācību nodarbību skaitu nedēļā un gadā, satura tematisko sadalījumu, plānojamos sasniedzamos rezultātus, darba organizācijas formas, mācību metodes, atgriezeniskās saites nodrošināšanu, mācību vides raksturojumu, nepieciešamos mācību līdzekļus un materiālus, literatūras sarakstu un izmantotos informācijas avotus programmas izstrādei.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Minimālo izglītojamo skaitu programmas īstenošanai izglītības iestādē nosaka pašvaldība, pamatojoties uz programmas īstenošanas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Programmu īsteno, uzņemot  izglītojamo  neatkarīgi no iepriekš iegūtās izglītības, pamatojoties uz izglītojamā vecāku vai izglītojamā likumisko pārstāvju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vai cits interešu izglītības pakalpojuma sniedzējs īsteno normatīvajos aktos noteiktajām higiēnas prasībām atbilstošu mācību procesu, iekļaujošu, intelektuālo, sociāli emocionālo attīstību un veselību veicinošu, fiziski un emocionāli drošu mācību vidi, kas atbilst izglītojamo vecumposma fiziskās un psihiskās attīstības vajadzībām un universālā dizaina prasībām, piemēram, viegli uztverama informācija, ērta piekļuve, vides objektu kontrastējošs noformējums grīdā un iekštelpās.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Noteikumi stājas spēkā 2023. gada 1. septembrī.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22-TA-3824</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22-TA-3824</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noteikumu_projekts_22-TA-3824.docx</dc:title>
</cp:coreProperties>
</file>

<file path=docProps/custom.xml><?xml version="1.0" encoding="utf-8"?>
<Properties xmlns="http://schemas.openxmlformats.org/officeDocument/2006/custom-properties" xmlns:vt="http://schemas.openxmlformats.org/officeDocument/2006/docPropsVTypes"/>
</file>