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Nacionālās industriālās politikas pamatnostādņu 2021. – 2027. gadam īstenošanas starpposma novērtējumu"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24-TA-2085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