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Starptautisko un Latvijas Republikas nacionālo sankciju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Starptautisko un Latvijas Republikas nacionālo sankciju likumā (Latvijas Vēstnesis, 2016, 31. nr.; 2018, 128. nr.; 2019, 124. nr.; 2021, 200. nr.; 2023, 247. nr.; 2024, 204. nr.; 2025, 106., 244.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13. panta 4.</w:t>
      </w:r>
      <w:r w:rsidR="00000000" w:rsidRPr="00000000" w:rsidDel="00000000">
        <w:rPr>
          <w:vertAlign w:val="superscript"/>
          <w:rtl w:val="0"/>
        </w:rPr>
        <w:t xml:space="preserve">3</w:t>
      </w:r>
      <w:r w:rsidR="00000000" w:rsidRPr="00000000" w:rsidDel="00000000">
        <w:rPr>
          <w:rtl w:val="0"/>
        </w:rPr>
        <w:t xml:space="preserve"> daļā vārdus "personas, kuras nodarbojas ar patērētāju kreditēšanu un kurām Patērētāju tiesību aizsardzības centrs izsniedz speciālo atļauju (licenci) kreditēšanas pakalpojumu sniegšanai,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2026. gada 31. decembrim saskaņā ar šo likumu uzsāktās un nepabeigtās lietas pret personām, kuras saskaņā ar Patērētāju tiesību aizsardzības likumu ir saņēmušas speciālo atļauju (licenci) kreditēšanas pakalpojumu sniegšanai, Patērētāju tiesību aizsardzības centrs pabeidz, piemērojot tās tiesību normas, kas bija spēkā attiecīgās lietas uzsākšanas dienā."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26-TA-749</w:t>
    </w:r>
    <w:r>
      <w:br/>
    </w:r>
    <w:r w:rsidR="00000000" w:rsidRPr="00000000" w:rsidDel="00000000">
      <w:rPr>
        <w:rtl w:val="0"/>
      </w:rPr>
      <w:t xml:space="preserve">Izdrukāts 29.07.2026. 22.40 - 1.0.VK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26-TA-749</w:t>
    </w:r>
    <w:r>
      <w:br/>
    </w:r>
    <w:r w:rsidR="00000000" w:rsidRPr="00000000" w:rsidDel="00000000">
      <w:rPr>
        <w:rtl w:val="0"/>
      </w:rPr>
      <w:t xml:space="preserve">Izdrukāts 29.07.2026. 22.40 - 1.0.VK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likumprojekts_(grozījumi)_26-TA-749.docx</dc:title>
</cp:coreProperties>
</file>

<file path=docProps/custom.xml><?xml version="1.0" encoding="utf-8"?>
<Properties xmlns="http://schemas.openxmlformats.org/officeDocument/2006/custom-properties" xmlns:vt="http://schemas.openxmlformats.org/officeDocument/2006/docPropsVTypes"/>
</file>