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Elektroenerģijas tirgus likumā (Latvijas Republikas Saeimas un Ministru Kabineta Ziņotājs, 2005, 12. nr.; 2008, 10. nr.; Latvijas Vēstnesis, 2011, 117. nr.; 2013, 211., 232. nr.; 2014, 60., 189., 257. nr.; 2015, 118., 190., 248. nr.; 2016, 110., 241. nr.; 2019, 240. nr.; 2020, 29. nr.; 2022, 137A., 144. nr.; 2023, 38A.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panta otrās daļas 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aktīvais lietotājs - galalietotājs, kurš ražo elektroenerģiju savām vajadzībām un var saražotās elektroenerģijas pārpalikumu, kas veido ne vairāk kā 20% no lietotāja saražotās elektroenerģijas 12 mēnešu periodā, pārdot vai kopīgot, iesaistīties elastības pakalpojumos vai energoefektivitātes shēmās. Aktīvais lietotājs nav energoapgādes komersants;";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22. panta pirmās daļas pirmo teikumu pēc vārda "palielināšanai " ar vārdu " atjaunošanai";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likuma pārejas noteikumus ar 103.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“Šā likuma 30.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pantā minētā elektroenerģijas neto uzskaites sistēma tiek piemērota līdz 2029. gada 28. februārim.”.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23-TA-1661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23-TA-1661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