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577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5. septembrī (prot. Nr. 43 54.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aizdevuma izsniegšanu Liepājas speciālās ekonomiskās zonas pārvaldei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ministram, pamatojoties uz </w:t>
      </w:r>
      <w:r w:rsidR="00000000" w:rsidRPr="00000000" w:rsidDel="00000000">
        <w:rPr>
          <w:rtl w:val="0"/>
        </w:rPr>
        <w:t xml:space="preserve">Likuma par budžetu un finanšu vadību</w:t>
      </w:r>
      <w:r w:rsidR="00000000" w:rsidRPr="00000000" w:rsidDel="00000000">
        <w:rPr>
          <w:rtl w:val="0"/>
        </w:rPr>
        <w:t xml:space="preserve"> 36. panta 7.</w:t>
      </w:r>
      <w:r w:rsidR="00000000" w:rsidRPr="00000000" w:rsidDel="00000000">
        <w:rPr>
          <w:vertAlign w:val="superscript"/>
          <w:rtl w:val="0"/>
        </w:rPr>
        <w:t xml:space="preserve">1</w:t>
      </w:r>
      <w:r w:rsidR="00000000" w:rsidRPr="00000000" w:rsidDel="00000000">
        <w:rPr>
          <w:rtl w:val="0"/>
        </w:rPr>
        <w:t xml:space="preserve"> daļu, izsniegt valsts aizdevumu Liepājas speciālās ekonomiskās zonas pārvaldei Eiropas Savienības Kohēzijas fonda projekta Nr. 6.1.1.0/17/I/004 "Karostas kanāla un Ziemeļu vārtu hidrotehnisko būvju atjaunošana" sadārdzinājuma segšanai, ievērojot šādus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aizdevuma summa ir 544 876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aizdevuma izsniegšanas gala termiņš ir 2023. gada 29. decembris;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aizdevuma atmaksas gala termiņš ir 2035. gada 20. decembris, ar atlikto pamatsummas maksājumu līdz 2024. gada 20. jūnijam;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Liepājas speciālās ekonomiskās zonas pārvalde piecu darbdienu laikā pēc Eiropas Savienības fondu vai pārējās ārvalstu finanšu palīdzības finansējuma saņemšanas atmaksā aizdevuma daļu saņemtā priekšfinansējuma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aizdevuma pamatsummas un procentu maksājumi jāveic reizi ceturksnī pēc lineārās metodes;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aizdevuma procentu likme un riska likme tiek noteikta saskaņā ar </w:t>
      </w:r>
      <w:r w:rsidR="00000000" w:rsidRPr="00000000" w:rsidDel="00000000">
        <w:rPr>
          <w:rtl w:val="0"/>
        </w:rPr>
        <w:t xml:space="preserve">Ministru kabineta 2021. gada 21. decembra noteikumiem Nr. 888 ''Kārtība, kādā ministrijas un citas centrālās valsts iestādes iekļauj gadskārtējā valsts budžeta likumprojektā valsts aizdevumu pieprasījumus, un valsts aizdevumu izsniegšanas un apkalpošanas kārtība</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projekts nav vērtējams kā komercdarbības atbalsta projekts.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aizdevums tiek nodrošināts ar hipotēku uz nekustamajiem īpašumiem, komercķīlu uz kustamo mantu un kuģa hipotēku, veicot attiecīgus grozījumus šādos nodrošinājuma līgumos, kas noslēgti starp Latvijas Republiku un Liepājas speciālās ekonomiskās zonas pārvaldi: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2015. gada 31. jūlija komercķīlas līgumā Nr. Ķ/A/15/435;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2015. gada 4. augusta kuģa hipotēkas līgumā Nr. Ķ/A/15/439;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2015. gada 30. aprīļa hipotēkas līgumā Nr. Ķ/A/15/193.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ministram normatīvajos aktos noteiktajā kārtībā informēt Saeimu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valsts aizdevumu un, ja Saeima ar atsevišķu lēmumu ir piekritusi valsts aizdevuma sniegšanai, finanšu ministram izsniegt valsts aizdevumu Liepājas speciālās ekonomiskās zonas pārvaldei.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izpildītāja ‒ 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(2026-10-16)</w:t>
    </w:r>
  </w:p>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(2026-10-16)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(2026-10-16)</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23-TA-1821</w:t>
    </w:r>
    <w:r>
      <w:br/>
    </w:r>
    <w:r w:rsidR="00000000" w:rsidRPr="00000000" w:rsidDel="00000000">
      <w:rPr>
        <w:rtl w:val="0"/>
      </w:rPr>
      <w:t xml:space="preserve">Izdrukāts 16.10.2026. 17.09 - 3.0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(2026-10-16)</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23-TA-1821</w:t>
    </w:r>
    <w:r>
      <w:br/>
    </w:r>
    <w:r w:rsidR="00000000" w:rsidRPr="00000000" w:rsidDel="00000000">
      <w:rPr>
        <w:rtl w:val="0"/>
      </w:rPr>
      <w:t xml:space="preserve">Izdrukāts 16.10.2026. 17.09 - 3.0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rīkojuma_projekts_23-TA-1821.docx</dc:title>
</cp:coreProperties>
</file>

<file path=docProps/custom.xml><?xml version="1.0" encoding="utf-8"?>
<Properties xmlns="http://schemas.openxmlformats.org/officeDocument/2006/custom-properties" xmlns:vt="http://schemas.openxmlformats.org/officeDocument/2006/docPropsVTypes"/>
</file>