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765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41.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struktūrfondu un</w:t>
      </w:r>
      <w:r>
        <w:br/>
      </w:r>
      <w:r w:rsidR="00000000" w:rsidRPr="00000000" w:rsidDel="00000000">
        <w:rPr>
          <w:rStyle w:val="paragraph"/>
          <w:i w:val="1"/>
          <w:rtl w:val="0"/>
        </w:rPr>
        <w:t xml:space="preserve">Kohēzijas fonda 2014.–2020.gada plānošanas perioda</w:t>
      </w:r>
      <w:r>
        <w:br/>
      </w:r>
      <w:r w:rsidR="00000000" w:rsidRPr="00000000" w:rsidDel="00000000">
        <w:rPr>
          <w:rStyle w:val="paragraph"/>
          <w:i w:val="1"/>
          <w:rtl w:val="0"/>
        </w:rPr>
        <w:t xml:space="preserve">vadības likuma 20.panta 6. un 13.punktu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 (Latvijas Vēstnesis, 2015, 4., 46., 119. nr.; 2016, 62., 169. nr.; 2017, 51. nr.; 2018, 49., 252. nr.; 2019, 255. nr.; 2020, 146., 248. nr.; 2021, 129. nr.; 2022, 9.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Pasākuma mērķis ir veicināt šo noteikumu 3. punktā minēto nodarbināto personu ar invaliditāti un bezdarbnieku iekļaušanos sabiedrībā un iekārtošanos pastāvīgā darbā."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Papildināt ar 3.1.</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persona ar prognozējamu invaliditāti;".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4.2.1.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"4.2.1. iznākuma rādītājs – bezdarbnieki, tostarp ilgstošie bezdarbnieki, kas iesaistīti pasākumā, – 15 683;".</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4.2.2.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"4.2.2. rezultāta rādītājs – nodarbinātībā vai pašnodarbinātībā iesaistītie dalībnieki pēc aiziešanas (pēc pasākuma pabeigšanas) – 4 587;".</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4.2.3.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"4.2.3. rezultāta rādītājs – pasākuma dalībnieki izglītībā/apmācībā, kvalifikācijas ieguvē vai ir nodarbināti, tostarp pašnodarbināti, sešu mēnešu laikā pēc dalības pasākumā – 2 851."</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15.2.</w:t>
      </w:r>
      <w:r w:rsidR="00000000" w:rsidRPr="00000000" w:rsidDel="00000000">
        <w:rPr>
          <w:vertAlign w:val="superscript"/>
          <w:rtl w:val="0"/>
        </w:rPr>
        <w:t xml:space="preserve">1</w:t>
      </w:r>
      <w:r w:rsidR="00000000" w:rsidRPr="00000000" w:rsidDel="00000000">
        <w:rPr>
          <w:rtl w:val="0"/>
        </w:rPr>
        <w:t xml:space="preserve">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3. profesionālās piemērotības noteikšana šo noteikumu 3.1. un 3.1.</w:t>
      </w:r>
      <w:r w:rsidR="00000000" w:rsidRPr="00000000" w:rsidDel="00000000">
        <w:rPr>
          <w:vertAlign w:val="superscript"/>
          <w:rtl w:val="0"/>
        </w:rPr>
        <w:t xml:space="preserve">1</w:t>
      </w:r>
      <w:r w:rsidR="00000000" w:rsidRPr="00000000" w:rsidDel="00000000">
        <w:rPr>
          <w:rtl w:val="0"/>
        </w:rPr>
        <w:t xml:space="preserve"> apakšpunktā minētajiem bezdarbniekiem;".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17.3.5.</w:t>
      </w:r>
      <w:r w:rsidR="00000000" w:rsidRPr="00000000" w:rsidDel="00000000">
        <w:rPr>
          <w:vertAlign w:val="superscript"/>
          <w:rtl w:val="0"/>
        </w:rPr>
        <w:t xml:space="preserve">3</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"17.3.5.</w:t>
      </w:r>
      <w:r w:rsidR="00000000" w:rsidRPr="00000000" w:rsidDel="00000000">
        <w:rPr>
          <w:vertAlign w:val="superscript"/>
          <w:rtl w:val="0"/>
        </w:rPr>
        <w:t xml:space="preserve">3</w:t>
      </w:r>
      <w:r w:rsidR="00000000" w:rsidRPr="00000000" w:rsidDel="00000000">
        <w:rPr>
          <w:rtl w:val="0"/>
        </w:rPr>
        <w:t xml:space="preserve"> izdevumi par transportu, ēdināšanu un uzturēšanos dienesta viesnīcā šo noteikumu 3.1. un 3.1.</w:t>
      </w:r>
      <w:r w:rsidR="00000000" w:rsidRPr="00000000" w:rsidDel="00000000">
        <w:rPr>
          <w:vertAlign w:val="superscript"/>
          <w:rtl w:val="0"/>
        </w:rPr>
        <w:t xml:space="preserve">1</w:t>
      </w:r>
      <w:r w:rsidR="00000000" w:rsidRPr="00000000" w:rsidDel="00000000">
        <w:rPr>
          <w:rtl w:val="0"/>
        </w:rPr>
        <w:t xml:space="preserve">  apakšpunktā minētajiem bezdarbniekiem šo noteikumu 15.2.</w:t>
      </w:r>
      <w:r w:rsidR="00000000" w:rsidRPr="00000000" w:rsidDel="00000000">
        <w:rPr>
          <w:vertAlign w:val="superscript"/>
          <w:rtl w:val="0"/>
        </w:rPr>
        <w:t xml:space="preserve">1</w:t>
      </w:r>
      <w:r w:rsidR="00000000" w:rsidRPr="00000000" w:rsidDel="00000000">
        <w:rPr>
          <w:rtl w:val="0"/>
        </w:rPr>
        <w:t xml:space="preserve">3. apakšpunktā minētās atbalstāmās darbības īstenošanas laikā, kurus nosaka atbilstoši atbildīgās iestādes metodikai "Eiropas Sociālā fonda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un 9.1.4. specifiskā atbalsta mērķa "Palielināt diskriminācijas riskiem pakļauto iedzīvotāju integrāciju sabiedrībā un darba tirgū" 9.1.4.1. pasākuma "Profesionālā rehabilitācija" vienas vienības izmaksu standarta likmju aprēķina un piemērošanas metodika";".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34.</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Finansējuma saņēmējs informāciju par programmas ietvaros piešķirto atbalstu glabā 10 fiskālos gadus, sākot no dienas, kurā saskaņā ar programmu piešķirts pēdējais </w:t>
      </w:r>
      <w:r w:rsidR="00000000" w:rsidRPr="00000000" w:rsidDel="00000000">
        <w:rPr>
          <w:i w:val="1"/>
          <w:rtl w:val="0"/>
        </w:rPr>
        <w:t xml:space="preserve">de minimis </w:t>
      </w:r>
      <w:r w:rsidR="00000000" w:rsidRPr="00000000" w:rsidDel="00000000">
        <w:rPr>
          <w:rtl w:val="0"/>
        </w:rPr>
        <w:t xml:space="preserve">atbalsts. Atbalsta saņēmējs informāciju par piešķirto </w:t>
      </w:r>
      <w:r w:rsidR="00000000" w:rsidRPr="00000000" w:rsidDel="00000000">
        <w:rPr>
          <w:i w:val="1"/>
          <w:rtl w:val="0"/>
        </w:rPr>
        <w:t xml:space="preserve">de minimis</w:t>
      </w:r>
      <w:r w:rsidR="00000000" w:rsidRPr="00000000" w:rsidDel="00000000">
        <w:rPr>
          <w:rtl w:val="0"/>
        </w:rPr>
        <w:t xml:space="preserve"> atbalstu glabā 10 fiskālos gadus, sākot no dienas, kurā tam saskaņā ar programmu piešķirts atbalsts."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Izteikt 35.</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Ja tiek pārkāptas šajos noteikumos minētās komercdarbības atbalsta kontroles normas, tostarp nosacījumi, kas izriet no Komisijas regulas Nr. 1407/2013,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Izteikt 35.</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Ja tiek pārkāptas šajos noteikumos minētās komercdarbības atbalsta kontroles normas, tostarp nosacījumi, kas izriet no Komisijas regulas Nr. 651/2014,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37.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 Grozījumu šo noteikumu 17.2.1. apakšpunktā, kas paredz, ka ikmēneša finanšu atbalstu reģionālajai mobilitātei aprēķina atbilstoši vienas vienības izmaksu metodikai, piemēro tiem līgumiem par atbalstu reģionālajai mobilitātei aktīvo nodarbinātības pasākumu ietvaros, kurus finansējuma saņēmējs ar pasākumos iesaistītajiem dalībniekiem noslēdzis pēc 2018. gada 31. decembra."</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G. Eglītis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22-TA-2582</w:t>
    </w:r>
    <w:r>
      <w:br/>
    </w:r>
    <w:r w:rsidR="00000000" w:rsidRPr="00000000" w:rsidDel="00000000">
      <w:rPr>
        <w:rtl w:val="0"/>
      </w:rPr>
      <w:t xml:space="preserve">Izdrukāts 29.07.2026. 21.17 - 1.0.VK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22-TA-2582</w:t>
    </w:r>
    <w:r>
      <w:br/>
    </w:r>
    <w:r w:rsidR="00000000" w:rsidRPr="00000000" w:rsidDel="00000000">
      <w:rPr>
        <w:rtl w:val="0"/>
      </w:rPr>
      <w:t xml:space="preserve">Izdrukāts 29.07.2026. 21.17 - 1.0.VK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noteikumu_(grozījumu)_projekts_22-TA-2582.docx</dc:title>
</cp:coreProperties>
</file>

<file path=docProps/custom.xml><?xml version="1.0" encoding="utf-8"?>
<Properties xmlns="http://schemas.openxmlformats.org/officeDocument/2006/custom-properties" xmlns:vt="http://schemas.openxmlformats.org/officeDocument/2006/docPropsVTypes"/>
</file>