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2004. gada 23. marta noteikumos Nr. 157 "Kārtība, kādā veicams ietekmes uz vidi stratēģiskais novērtējums""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23-TA-2161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