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shēma atbilstoši Eiropas Parlamenta un Padomes 2018. gada 30. maija Regulai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shēma un aizsargātu cilmes vietas nosaukumu shēma atbilstoši: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21. novembra Regulai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(turpmāk – regula Nr. </w:t>
      </w:r>
      <w:r w:rsidR="00000000" w:rsidRPr="00000000" w:rsidDel="00000000">
        <w:rPr>
          <w:rtl w:val="0"/>
        </w:rPr>
        <w:t xml:space="preserve">1151/2012</w:t>
      </w:r>
      <w:r w:rsidR="00000000" w:rsidRPr="00000000" w:rsidDel="00000000">
        <w:rPr>
          <w:rtl w:val="0"/>
        </w:rPr>
        <w:t xml:space="preserve">) – lauksaimniecības produktiem un pārtikai;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17. aprīļa Regulai (ES) </w:t>
      </w:r>
      <w:r w:rsidR="00000000" w:rsidRPr="00000000" w:rsidDel="00000000">
        <w:rPr>
          <w:rtl w:val="0"/>
        </w:rPr>
        <w:t xml:space="preserve">2019/787</w:t>
      </w:r>
      <w:r w:rsidR="00000000" w:rsidRPr="00000000" w:rsidDel="00000000">
        <w:rPr>
          <w:rtl w:val="0"/>
        </w:rPr>
        <w:t xml:space="preserve">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 stiprajiem alkoholiskajiem dzērieniem;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922/72, (EEK) Nr. 234/79, (EK) Nr. 1037/2001 un (EK) Nr. 1234/2007,  II daļas II sadaļas I nodaļas 2. iedaļai – vīniem;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26. februāra Regulai (ES) Nr. </w:t>
      </w:r>
      <w:r w:rsidR="00000000" w:rsidRPr="00000000" w:rsidDel="00000000">
        <w:rPr>
          <w:rtl w:val="0"/>
        </w:rPr>
        <w:t xml:space="preserve">251/2014</w:t>
      </w:r>
      <w:r w:rsidR="00000000" w:rsidRPr="00000000" w:rsidDel="00000000">
        <w:rPr>
          <w:rtl w:val="0"/>
        </w:rPr>
        <w:t xml:space="preserve"> par aromatizētu vīna produktu definīciju, aprakstu, noformējumu, marķējumu un ģeogrāfiskās izcelsmes norāžu aizsardzību un ar ko atceļ Padomes Regulu (EEK) Nr. 1601/91 – aromatizētiem vīniem;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garantētu tradicionālo īpatnību shēma atbilstoši regulai Nr. </w:t>
      </w:r>
      <w:r w:rsidR="00000000" w:rsidRPr="00000000" w:rsidDel="00000000">
        <w:rPr>
          <w:rtl w:val="0"/>
        </w:rPr>
        <w:t xml:space="preserve">1151/2012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pārtikas kvalitātes shēma atbilstoši Komisijas 2021. gada 7. decembra Deleģētās regulas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47. panta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shēmas produkta ražotājs (turpmāk – operators) ievēro prasības atbilstoši normatīvajiem aktiem par pārtikas kvalitātes shēmām, un lietošanai pārtikā paredzētais produkts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1151/2012</w:t>
      </w:r>
      <w:r w:rsidR="00000000" w:rsidRPr="00000000" w:rsidDel="00000000">
        <w:rPr>
          <w:rtl w:val="0"/>
        </w:rPr>
        <w:t xml:space="preserve"> 12. un 23. pantu, kā arī Komisijas 2014. gada 13. jūnija Īstenošanas regulas (ES) Nr. </w:t>
      </w:r>
      <w:r w:rsidR="00000000" w:rsidRPr="00000000" w:rsidDel="00000000">
        <w:rPr>
          <w:rtl w:val="0"/>
        </w:rPr>
        <w:t xml:space="preserve">668/2014</w:t>
      </w:r>
      <w:r w:rsidR="00000000" w:rsidRPr="00000000" w:rsidDel="00000000">
        <w:rPr>
          <w:rtl w:val="0"/>
        </w:rPr>
        <w:t xml:space="preserve">, ar ko paredz noteikumus par to, kā piemērot Eiropas Parlamenta un Padomes Regulu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13. pantu un X pielikumu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12.04.2022. noteikumiem Nr. 228)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Bioloģiskās kontroles institūcija apliecina arī tāda operatora atbilstību bioloģiskās lauksaimniecības shēmai, kurš ražo bioloģiskās lauksaimniecības primāros produktus un tos piegādā bioloģiskās lauksaimniecības apstrādes un pārstrādes uzņēmumam vai kooperatīvam.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11.10.2016. noteikumu Nr. 665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 pārtikas kvalitātes shēmā iesaistītie uzņēmumi ievēro normatīvo aktu prasības pārtikas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un izejvielu piegādātāja nosaukumu vai vārdu un uzvārdu,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atbilstošajā shēmā uztur operatora izejvielu piegādātāju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jūlijam un 1. janvārim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shēmas produktu izejvielu piegādātāju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reizi ceturksnī (ne vēlāk kā līdz ceturkšņa pēdējā mēneša piektajam datumam) iesniedz kontroles institūcijā informāciju par izmaiņām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septembrim) iesniedz bioloģiskās kontroles institūcijā apliecinājumu par dalību shēmā, norādot periodā no iepriekšējā gada 30. augusta līdz kārtējā gada 31. augustam realizēto bioloģiskās lauksaimniecības produktu nosaukumus un realizācijas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noteikumu_konsolidētā_versija_22-TA-3194.docx</dc:title>
</cp:coreProperties>
</file>

<file path=docProps/custom.xml><?xml version="1.0" encoding="utf-8"?>
<Properties xmlns="http://schemas.openxmlformats.org/officeDocument/2006/custom-properties" xmlns:vt="http://schemas.openxmlformats.org/officeDocument/2006/docPropsVTypes"/>
</file>