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"Graviņas"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"Graviņas" (nekustamā īpašuma kadastra Nr. 4046 021 0009) daļu – zemes vienību (zemes vienības kadastra apzīmējums 4046 018 0078) 0,2375 ha platībā, zemes vienību (zemes vienības kadastra apzīmējums 4046 018 0079) 1,15 ha platībā un zemes vienību (zemes vienības kadastra apzīmējums 4046 018 0081) 1,37 ha platībā – Brunavas pagastā, Bauskas novadā, atbilstoši noteiktai atlīdzībai 28 361,79 EUR (tirgus vērtība – 28 225,77 EUR, kompensējamie zaudējumi jeb atlikušās (neatsavināmās) nekustamā īpašuma daļas vērtības samazinājums - 136,02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24-TA-736</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mk_sēdes_protokollēmuma_projekts_24-TA-736.docx</dc:title>
</cp:coreProperties>
</file>

<file path=docProps/custom.xml><?xml version="1.0" encoding="utf-8"?>
<Properties xmlns="http://schemas.openxmlformats.org/officeDocument/2006/custom-properties" xmlns:vt="http://schemas.openxmlformats.org/officeDocument/2006/docPropsVTypes"/>
</file>