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w:t>
      </w:r>
      <w:r w:rsidR="00000000" w:rsidRPr="00000000" w:rsidDel="00000000">
        <w:rPr>
          <w:rStyle w:val="paragraph"/>
          <w:i w:val="1"/>
          <w:rtl w:val="0"/>
        </w:rPr>
        <w:t xml:space="preserve">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(turpmāk – investīcija)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sasniedzamos atskaites punktus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Atveseļošanas fonda plāna īstenošanā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projekta īstenošanas nosacījumus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izstrādāt sociālās nodrošināšanas prognozēšanas rīka informācijas sistēmu (turpmāk – prognozēšanas rīks) valsts sociālās apdrošināšanas sistēmas, tostarp pensiju sistēmas, ilgtermiņa prognozēm, sistēmas ilgtermiņa stabilitātes, ilgtspējas un efektivitātes izvērtēšanai un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tiešās pārvaldes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īsteno 3.1.2.r. reformu "Sociālo un nodarbinātības pakalpojumu pieejamība minimālo ienākumu reformas atbalstam", kuras mērķis ir nodrošināt augstam sociālās atstumtības riskam pakļautajiem iedzīvotājiem, kuriem ir ierobežoti finanšu resursi, pieeju būtiski nepieciešamajiem sociālajiem un nodarbinātības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investīcijas īstenošanas pārvaldību atbildīgā nozares ministrija ir Labklājības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ietvaros ir sasniedzami šādi atskaites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30. jūnijam – līguma noslēgšana par prognozēšanas modeļa algoritmu izstrādi, informācijas sistēmas tehniskās specifikācijas izstrādi un sistēmas izstrādes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30. septembrim – sociālās nodrošināšanas prognozēšanas rīka informācijas sistēmas tehniskās specifikācijas pabeigšana;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31. martam – prognozēšanas rīka izstrāde.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Atskaites punktu sasniegšanu apliecina informācijas un dokumentu kopums, kas iesniegts Kohēzijas politikas fondu vadības informācijas sistēmā (turpmāk – vadības informācijas sistēma),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tehniskās specifikācijas un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līguma kopija par prognozēšanas modeļa algoritmu izstrādi, informācijas sistēmas tehniskās specifikācijas izstrādi un sistēmas izstrādes uzraudzību un apraksts no attiecīgajām dokumentu daļām, kas noteiktas Atveseļošanas fonda plāna Darbības kārtībā, par kuru vienojas Eiropas Komisija un Latvija;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izveidotās iepirkuma komisijas protokola kopija un apraksts no tā attiecīgajām daļām, kas apliecina, ka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līguma slēgšanas tiesības tika piešķirtas konkursa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prognozēšanas rīka tehniskās specifikācijas kopija un apraksts no tās attiecīgajām daļām;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izveidotās nacionālās darba grupas protokola kopija un apraksts no tā attiecīgajām daļām, kas apliecina tehniskās specifikācijas apstiprināšanu par prognozēšanas rīka izstrādi un tās gatavību iesniegšanai finansējuma saņēmēja izveidotai iepirkuma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6.3.</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pakalpojuma sniedzēja parakstītā pieņemšanas un nodošanas akta kopija par izstrādāto prognozēšanas rīku valsts sociālās apdrošināšanas sistēmas ilgtermiņa prognozēm;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izveidotās nacionālās darba grupas protokola kopija un apraksts no tā attiecīgajām daļām.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finansējuma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īstenošanai pieejamais Atveseļošanas fonda finansējums ir 1 563 985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īstenošanai pieejamais valsts budžeta finansējums pievienotās vērtības nodokļa segšanai ir indikatīvi 278 145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Finansējuma saņēmējs un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ir Labklājības ministrija (turpmāk – finansējuma saņēmējs), kas īsteno projektu, pamatojoties uz nozares ministrijas izdotu pārvaldes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sadarbības partneri šo noteikumu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atbalstāmās darbības īstenošanā ir Valsts sociālās apdrošināšanas aģentūra (turpmāk – aģentūra) un Centrālā statistikas pārvalde (turpmāk – pārvalde).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minēto sadarbību, finansējuma saņēmējs ar katru no sadarbības partneriem noslēdz vienošanos un iekļauj tajā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un finansējuma saņēmēja rekvizīti;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projekta īstenošanu saistīto dokumentu glabāšanas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vienošanās darbības laiks, tās grozīšanas un izbeigšanas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Noslēdzot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vienošanos, tajā iekļauj šādus sadarbības partneru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sadarbības partneris ir aģentūra: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konsultāciju un prognožu veikšanai nepieciešamo statistikas, finanšu un citu aģentūras rīcībā esošo datu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dalība izstrādātā prognozēšanas rīka testēšanā, algoritma rezultātu vērtēšanā, sniedzot viedokli par aģentūras kompetencē esošiem jautājumiem;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prognozēšanas rīka testa un produkcijas vides izvietošana labklājības nozares informācijas un komunikācijas tehnoloģiju infrastruktūrā un tam nepieciešamās operatīvās atmiņas, procesora jaudas un datu glabāšanai vajadzīgās diska vietas (turpmāk visi kopā – resursi) noma;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sadarbības partneris ir pārvalde: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konsultāciju un prognozēšanas rīka izstrādei nepieciešamās pārvaldes rīcībā esošās informācijas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dalība izstrādātā prognozēšanas rīka testēšanā, algoritma rezultātu vērtēšanā, sniedzot viedokli par pārvaldes kompetencē esošiem jautājumiem.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projekta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prognozēšanas rīka tehniskās specifikācijas izstrāde, tai skaitā situācijas priekšizpētes ziņojuma sagatavošana, un prognozēšanas rīka izstrādes kvalitātes uzraudzība;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prognozēšanas rīka izstrāde, tai skaitā prognozēšanas rīka testēšana, lietotāja un administratora rokasgrāmatu sagatavošana, prognozēšanas rīka lietotāju un administratoru mācības;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labklājības nozares informācijas un komunikācijas tehnoloģijas infrastruktūrai nepieciešamo resursu noma prognozēšanas rīka izstrādei, testēšanai un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prognozēšanas rīka kiberdrošības audita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informēšanas un izpratnes veicināšanas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Investīcijas projektā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projekta īstenošanas personāla un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 sadarbības partnera projekta īstenošanas personāla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saskaņā ar Valsts un pašvaldību institūciju amatpersonu un darbinieku atlīdzības likumu, kas radušās uz darba līguma vai rīkojuma pamata;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redzes korekcijas līdzekļu kompensācijas izmaksas, ja tās nav iekļautas šo noteikumu </w:t>
      </w:r>
      <w:r w:rsidR="00000000" w:rsidRPr="00000000" w:rsidDel="00000000">
        <w:rPr>
          <w:rtl w:val="0"/>
        </w:rPr>
        <w:t xml:space="preserve">16.2.1.</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obligāto veselības pārbaužu veikšanas kārtību paredzēto veselības pārbaužu izmaksas, ja tās nav iekļautas šo noteikumu </w:t>
      </w:r>
      <w:r w:rsidR="00000000" w:rsidRPr="00000000" w:rsidDel="00000000">
        <w:rPr>
          <w:rtl w:val="0"/>
        </w:rPr>
        <w:t xml:space="preserve">16.2.1.</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atbalstāmo darbību īstenošanai,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apdrošināšanas izmaksas normatīvajos aktos noteiktā apmērā finansējuma saņēmēja projekta vadības un īstenošanas personālam un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 sadarbības partnera projekta īstenošanas personālam, ja personāls ir nodarbināts normālu darba laiku. Ja personāls ir nodarbināts nepilnu darba laiku, veselības apdrošināšanas izmaksas nosakāmas atbilstoši nepilna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iegādes vai nomas izmaksas finansējuma saņēmēja projekta vadības personālam jaunu darba vietu radīšanai un, ja aprīkojums ir nolietojies un tiek norakstīts, aprīkojuma uzturēšanai un remontam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normālu darba laiku.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un īstenošanas personāla un ekspertu piesaistei;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informēšanas un izpratnes veidošanas pasākumu īstenošanai un komunikācijas un vizuālās identitātes prasību nodrošināšanai, ja nepieciešams piesaistīt pakalpojuma sniedzēju.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sadarbības partnera izmaksas par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resursu nomu.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ietvaros Atveseļošanas fonda finansējums nesedz pievienotās vērtības nodokļa izmaksas, bet šādas izmaksas ir iekļaujamas investīcijas projektā un tās finansējuma saņēmējs sedz no valsts budžeta finansējuma, ja pievienotās vērtības nodokli nevar atgūt no valsts budžeta priekšnodokļa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Investīcijas projekta atbalstāmo darbību ietvaros radušās izmaksas var uzskatīt par attiecināmām no Atveseļošanas fonda, ja tās ir tieši saistītas ar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minētajiem atskaites punktiem, atbilst šajos noteikumos ietvertajām atbalstāmajām darbībām un attiecināmo izmaksu pozīcijām un tās radušās no 2022. gada 1. janvāra. Ja projekta atbalstāmo darbību īstenošana pabeigta līdz 2021. gada 31. decembrim, to izmaksas nav attiecināmas finansēšanai no Atveseļošanas fonda.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Investīcijas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Prognozēšanas rīka izstrādei un uzraudzībai finansējuma saņēmējs ar labklājības ministra rīkojumu izveido nacionālo darba grupu, kas nodrošina ar prognozēšanas rīka izstrādi saistīto jautājumu pārvaldību. Nacionālās darba grupas sastāvā ir finansējuma saņēmēja, Finanšu ministrijas, Viedās administrācijas un reģionālās attīstības ministrijas, Latvijas Bankas, Centrālās statistikas pārvaldes, Latvijas Darba devēju konfederācijas, Latvijas Brīvo arodbiedrību savienības pārstāvji un zinātniskā sektora pārstāvji, kā arī citi pārstāvji pēc nepieciešamības.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minētajai nacionālajai darba grupai ir šādi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ekspertu ar starptautisku pieredzi izvēles kritērijus un apstiprināt darba uzdevumu ekspertu ar starptautisku pieredzi iepirkumam;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prognozēšanas rīka tehnisko specifikāciju;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validēt un apstiprināt izstrādāto prognozēšanas rīku.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īstenošanai un uzraudzībai nepieciešamās informācijas iesniegšanu un uzkrāšanu finansējuma saņēmējs un nozares ministrija nodrošina vadības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investīcijas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darbību īstenošanai projekta vadības un īstenošanas personālu vai īstenojot publiskos iepirkumus, nodrošina, ka projekta īstenošanas laikā tiek ievēroti interešu konflikta, korupcijas un krāpšanas novēršanas nosacījumi, nodrošinot vismaz šādus pasākumus: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vadībā un īstenošanā iesaistītais personāls ir informēts par korupcijas un interešu konflikta novēršanas jautājumiem un krāpšanas pazīmēm;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vadībā un īstenošanā iesaistītais personāls ir parakstījis apliecinājumu par pienākumu ziņot par konstatētiem vai iespējamiem trūkumiem un pārkāpumiem;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vadībā un īstenošanā iesaistītais personāls ir informēts par iespēju ziņot par pārkāpumiem un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dubultfinansēšanas riskus un nodrošina, ka projektā plānotās atbalstāmās darbības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iepirkumus veic atbilstoši normatīvajiem aktiem publisko iepirkumu jomā, īstenojot atklātas, pārredzamas, nediskriminējošas un konkurenci nodrošinošas iepirkuma procedūras;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vien tas ir iespējams un attiecināms, ņemot vērā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specifiku, veic sociāli atbildīgu publisko iepirkumu;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pievienotās vērtības nodokļa izmaksu uzskaiti, kā arī ieskaita valsts budžetā neizmantotā pievienotās vērtības nodokļa daļu, ja sākotnēji plānotais pievienotās vērtības nodokļa apjoms ir lielāks nekā faktiski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grāmatvedību regulējošo normatīvo aktu prasībām, piemēram, izveidojot atbilstošu uzskaites kodu sistēmu par visiem projekta īstenošanai veiktajiem darījumiem, kā arī pamatojošajā dokumentācijā norādot projekta identifikatoru;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normatīvajos aktos par Atveseļošanas fonda plāna īstenošanas un uzraudzības kārtību minētajām institūcijām ir pieejama ar projekta īstenošanu saistītā dokumentācija. Dokumentācijas pieejamību nodrošina vadības informācijas sistēmā, pie finansējuma saņēmēja vai pie sadarbības partnera. Ja dokumentācija ir pieejama tikai pie finansējuma saņēmēja vai sadarbības partnera, nodrošina tās iesniegšanu institūcijai, kas atbilstoši normatīvajos aktos par Atveseļošanas fonda plāna īstenošanas un uzraudzības kārtību noteiktajai kompetencei to pieprasa;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 datu pārziņi apstrādā un uzkrāj personas datus tādā apjomā, kas nepieciešams, lai īstenotu projektu, kā arī sagatavotu un iesniegtu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Īstenojot investīcijas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minētās atbalstāmās darbības īstenošanai piesaista ekspertus ar starptautisku pieredzi un atbilstošām zināšanām darbā ar prognozēšanas rīkiem, kas nepieciešamas prognozēšanas rīka tehniskās specifikācijas izstrādei un rīka izgatavošanas prasību sagatavošanai nosacīti noteikto iemaksu pensiju sistēmu kontekstā;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w:t>
      </w:r>
      <w:r w:rsidR="00000000" w:rsidRPr="00000000" w:rsidDel="00000000">
        <w:rPr>
          <w:rtl w:val="0"/>
        </w:rPr>
        <w:t xml:space="preserve"> minētos komunikācijas un vizuālās identitātes prasību nodrošināšanas pasākumus īsteno saskaņā ar Eiropas Parlamenta un Padomes 2021. gada 12. februāra Regulas (ES) 2021/241,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informē nozares ministriju par problēmām (tai skaitā konstatētiem iespējamiem trūkumiem un pārkāpumiem) projekta īstenošanā, kuras saistītas ar normatīvajos aktos par Atveseļošanas fonda plāna īstenošanu un uzraudzības kārtību noteikto finansējuma saņēmēja pienākuma izpildi un Atveseļošanas fonda plāna prasību ievērošanu un riskiem, kuri apdraud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noteikto atskaites punktu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Atveseļošanas fonda plāna īstenošanas progresa pusgada ziņojuma un maksājuma pieprasījuma sagatavošanai vadības informācijas sistēmā ievada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pārvaldes lēmumā noteiktajam termiņam, bet ne vēlāk kā līdz kārtējā gada 10. janvārim (ar statusu uz iepriekšējā gada 31. decembri) un 10. jūlijam (ar statusu uz kārtējā gada 30. jūniju);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projekta ietvaros izstrādājamais prognozēšanas rīks tiks saskaņots ar Viedās administrācijas un reģionālās attīstības ministriju atbilstoši normatīvajiem aktiem par valsts informācijas sistēmu attīstības projektu uzraudzību;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finansējuma saņēmēja īpašumā atradīsies projekta ietvaros izstrādātā prognozēšanas rīka pirmkodi, intelektuālā īpašuma tiesības, tai skaitā risinājuma modificēšanas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īstenojot investīcijas projektu, ir nepieciešami grozījumi projektā, plānoto progresa pārskatu iesniegšanas grafikā vai plānotajā iepirkumu plānā, tos izdara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projekta, plānoto progresa pārskatu iesniegšanas grafika vai plānoto iepirkuma plāna grozījumu priekšlikumu nozares ministrijā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ministrija iesniegtos grozījumus plānotajā progresa pārskata iesniegšanas grafikā vai plānotajā iepirkumu plānā pieņem zināšanai vai piecu darbdienu laikā no to saņemšanas dienas informē finansējuma saņēmēju par nepieciešamajiem precizējumiem (tai skaitā norādot tā atkārtotas iesniegšanas kārtību un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ministrija iesniegto projekta grozījumu lietderību, pamatotību un nepieciešamību investīcijas mērķa sasniegšanai pārbauda 10 darbdienu laikā pēc projekta grozījumu priekšlikuma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nozares ministrija noraida projekta grozījumu priekšlikumu, tā norāda atteikuma pamatojumu un, ja nepieciešams, informāciju par veicamajiem precizējumiem un tā atkārtotas iesniegšanas kārtību un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atkārtoti iesniegto grozījumu priekšlikumu nozares ministrija izskata piecu darbdienu laikā no to saņemšanas dienas pēc atkārtoti iesniegtā grozījuma priekšlikuma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nozares ministrija veic atbilstošus grozījumus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pārvaldes lēmumā.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Investīcijas projekta īstenošanas uzraudzību nodrošina nozares ministrija sadarbībā ar normatīvajos aktos par Atveseļošanas fonda plāna īstenošanas un uzraudzības kārtību minētajām institūcijām, kuras atbilstoši kompetencei veic vismaz šādas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pārbaudi interešu konflikta, korupcijas un krāpšanas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pārbaudi dubultfinansējuma riska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un to pamatojošās dokumentācijas atbilstības pārbaudi, tai skaitā datu ticamības pārbaudi.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Uzraudzībā iesaistītās institūcijas atbilstoši to kompetencei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minēto noslēguma pārbaužu veikšanu un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minētās noslēguma progresa informācijas izvērtēšanu nodrošina līdz 2026.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Papildus nozares ministrija: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bet ne retāk kā reizi pusgadā organizē projekta īstenošanas progresa uzraudzības sanāksmes, pieaicinot finansējuma saņēmēju, sadarbības partnerus un, ja nepieciešams, arī Centrālo finanšu un līgumu aģentūru;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informē Finanšu ministriju kā Atveseļošanas fonda plāna ieviešanas koordinatoru un, ja nepieciešams, Ministru kabinetu, ja nozares ministrija projekta ietvaros ir konstatējusi vai no Centrālās finanšu un līgumu aģentūras, Iepirkumu uzraudzības biroja, Finanšu ministrijas kā Atveseļošanas fonda plāna revīzijas iestādes, Eiropas Komisijas, citām kontrolējošām iestādēm vai finansējuma saņēmēja ir saņēmusi informāciju par konstatētiem trūkumiem un pārkāpumiem saistībā ar Atveseļošanas fonda plāna prasību īstenošanu un riskiem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sasniegšanai, sniedzot detalizētu aprakstu par radušos situāciju, trūkumu un pārkāpumu rašanās cēloņiem, finansiālo ietekmi, kā arī sniedzot risinājumu par veicamajām darbībām un uzlabojumiem, lai novērstu konstatētās nepilnības.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Nozares ministrijai ir tiesības vienpusēji paziņot finansējuma saņēmējam par investīcijas projekta īstenošanas pārtraukšanu,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projekta nosacījumus, tai skaitā projekta īstenošana nenotiek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pārvaldes lēmumā noteiktajiem termiņiem vai ir iestājušies citi apstākļi, kas negatīvi ietekmē vai var ietekmēt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atskaites punktu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saņēmējam projekta īstenošanas laikā ir piemērotas starptautiskās vai nacionālās sankcijas vai būtiskas finanšu un kapitāla tirgus intereses ietekmējošas Eiropas Savienības vai Ziemeļatlantijas līguma organizācijas dalībvalsts noteiktās sankcijas;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 pārvaldes lēmumā noteiktajos gadījumos.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projektu īsteno līdz 2026. gada 30. jūnijam.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izmaksas ir attiecināmas no dienas, kad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minētais sadarbības partneris ir noslēdzis līgumu par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resursu nomu.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25-TA-1753</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25-TA-1753</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noteikumu_konsolidētā_versija_25-TA-1753.docx</dc:title>
</cp:coreProperties>
</file>

<file path=docProps/custom.xml><?xml version="1.0" encoding="utf-8"?>
<Properties xmlns="http://schemas.openxmlformats.org/officeDocument/2006/custom-properties" xmlns:vt="http://schemas.openxmlformats.org/officeDocument/2006/docPropsVTypes"/>
</file>