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noteikumos Nr. 866 "Īstermiņa eksporta kredīta garantiju izsniegšanas noteikumi komersantiem un atbilstošām lauksaimniecības pakalpojumu kooperatīvajām sabiedrībām"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noteikumos Nr. 866 "Īstermiņa eksporta kredīta garantiju izsniegšanas noteikumi komersantiem un atbilstošām lauksaimniecības pakalpojumu kooperatīvajām sabiedrībām" (Latvijas Vēstnesis, 2016, 251. nr.; 2017, 198. nr.; 2019, 146. nr.; 2020, 74A., 248. nr.; 2021, 91. nr.; 2022, 116., 248. nr.; 2023, 111.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ar nosacījumu, ka garantiju izsniedz līdz 2028. gada 31. decembrim un tiek izpildīta viena no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saimnieciskās darbības veicējs atbilst Komisijas 2014. gada 17. jūnija Regulas (ES) Nr. 651/2014, ar ko noteiktas atbalsta kategorijas atzīst par saderīgām ar iekšējo tirgu, piemērojot Līguma 107. un 108. pantu (Eiropas Savienības Oficiālais Vēstnesis, 2014. gada 26. jūnijs, Nr. L 187), 1. pielikumā noteiktajai sīkā (mikro), mazā vai vidējā saimnieciskās darbības veicēja definīcijai, un saimnieciskās darbības veicēja kopējais gada eksporta apgrozījums nepārsniedz 5 000 000 </w:t>
      </w:r>
      <w:r w:rsidR="00000000" w:rsidRPr="00000000" w:rsidDel="00000000">
        <w:rPr>
          <w:i w:val="1"/>
          <w:rtl w:val="0"/>
        </w:rPr>
        <w:t xml:space="preserve">euro </w:t>
      </w:r>
      <w:r w:rsidR="00000000" w:rsidRPr="00000000" w:rsidDel="00000000">
        <w:rPr>
          <w:rtl w:val="0"/>
        </w:rPr>
        <w:t xml:space="preserve">saskaņā ar pēdējā noslēgtā finanšu pārskata datiem;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eksporta kredīta darījumu atlikto maksājumu termiņš nav īsāks par 121 dienu, bet nepārsniedz šo noteikumu 7. punktā minēto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Pēc 2028. gada 31. decembra jaunus līgumus par garantijām, kas sniegtas saskaņā ar šo noteikumu 11. punktu, neslēdz, savukārt saskaņā ar šo noteikumu 11. punktu noslēgto līgumu ietvaros pēdējās deklarācijas atlikto maksājumu termiņš nepārsniedz 2029. gada 29. jūniju."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23-TA-2490</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23-TA-2490</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noteikumu_(grozījumu)_projekts_23-TA-2490.docx</dc:title>
</cp:coreProperties>
</file>

<file path=docProps/custom.xml><?xml version="1.0" encoding="utf-8"?>
<Properties xmlns="http://schemas.openxmlformats.org/officeDocument/2006/custom-properties" xmlns:vt="http://schemas.openxmlformats.org/officeDocument/2006/docPropsVTypes"/>
</file>