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mediju politikas pamatnostādnes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mediju politikas pamatnostādnes 2024.–2027. gadam (turpmāk – pamatnostādnes).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Kultūras ministriju par atbildīgo institūciju pamatnostādņu īstenošanā, bet Iekšlietu ministriju, Izglītības un zinātnes ministriju, Labklājības ministriju, Tieslietu ministriju, Valsts kanceleju, Sabiedrisko elektronisko plašsaziņas līdzekļu padomi un Nacionālo elektronisko plašsaziņas līdzekļu padomi – par līdzatbildīgajām institūcijām.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sagatavot un kultūras ministram iesniegt noteiktā kārtībā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oktobrim – pamatnostādņu īstenošanas plānu 2024.–2027.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jūnijam – pamatnostādņu īstenošanas starpposma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Atbildīgajām un līdzatbildīgajām institūcijām pamatnostādnēs iekļautos pasākumus 2024. gadā īstenot atbilstoši tām piešķirtajiem valsts budžeta līdzekļiem.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24-TA-781</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24-TA-781</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rīkojuma_projekts_24-TA-781.docx</dc:title>
</cp:coreProperties>
</file>

<file path=docProps/custom.xml><?xml version="1.0" encoding="utf-8"?>
<Properties xmlns="http://schemas.openxmlformats.org/officeDocument/2006/custom-properties" xmlns:vt="http://schemas.openxmlformats.org/officeDocument/2006/docPropsVTypes"/>
</file>